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6B68" w:rsidRDefault="00A26B68" w:rsidP="00A26B68">
      <w:pPr>
        <w:spacing w:before="100" w:beforeAutospacing="1" w:after="100" w:afterAutospacing="1" w:line="240" w:lineRule="auto"/>
        <w:outlineLvl w:val="0"/>
        <w:rPr>
          <w:rFonts w:ascii="Times New Roman" w:eastAsia="Times New Roman" w:hAnsi="Times New Roman" w:cs="Times New Roman"/>
          <w:sz w:val="24"/>
          <w:szCs w:val="24"/>
          <w:lang w:eastAsia="en-GB"/>
        </w:rPr>
      </w:pPr>
      <w:r w:rsidRPr="00A26B68">
        <w:rPr>
          <w:rFonts w:ascii="Times New Roman" w:eastAsia="Times New Roman" w:hAnsi="Times New Roman" w:cs="Times New Roman"/>
          <w:b/>
          <w:bCs/>
          <w:kern w:val="36"/>
          <w:sz w:val="48"/>
          <w:szCs w:val="48"/>
          <w:lang w:eastAsia="en-GB"/>
        </w:rPr>
        <w:t>Ten useful things to remember when applying for HEA Fellowship</w:t>
      </w:r>
      <w:r w:rsidRPr="00A26B68">
        <w:rPr>
          <w:rFonts w:ascii="Times New Roman" w:eastAsia="Times New Roman" w:hAnsi="Times New Roman" w:cs="Times New Roman"/>
          <w:b/>
          <w:bCs/>
          <w:kern w:val="36"/>
          <w:sz w:val="48"/>
          <w:szCs w:val="48"/>
          <w:lang w:eastAsia="en-GB"/>
        </w:rPr>
        <w:softHyphen/>
        <w:t xml:space="preserve"> (D1 and D2, Professional Recognition Route)</w:t>
      </w:r>
      <w:r w:rsidRPr="00A26B68">
        <w:rPr>
          <w:rFonts w:ascii="Times New Roman" w:eastAsia="Times New Roman" w:hAnsi="Times New Roman" w:cs="Times New Roman"/>
          <w:sz w:val="24"/>
          <w:szCs w:val="24"/>
          <w:lang w:eastAsia="en-GB"/>
        </w:rPr>
        <w:t xml:space="preserve"> </w:t>
      </w:r>
    </w:p>
    <w:p w:rsidR="00A26B68" w:rsidRDefault="00A26B68" w:rsidP="00A26B68">
      <w:pPr>
        <w:spacing w:before="100" w:beforeAutospacing="1" w:after="100" w:afterAutospacing="1" w:line="240" w:lineRule="auto"/>
        <w:outlineLvl w:val="0"/>
      </w:pPr>
      <w:r>
        <w:t>John Canning, Centre for Teaching Learning, University of Brighton</w:t>
      </w:r>
    </w:p>
    <w:p w:rsidR="00A26B68" w:rsidRDefault="00A26B68" w:rsidP="00A26B68">
      <w:pPr>
        <w:spacing w:before="100" w:beforeAutospacing="1" w:after="100" w:afterAutospacing="1" w:line="240" w:lineRule="auto"/>
        <w:outlineLvl w:val="0"/>
      </w:pPr>
      <w:r>
        <w:rPr>
          <w:noProof/>
          <w:lang w:eastAsia="en-GB"/>
        </w:rPr>
        <w:drawing>
          <wp:inline distT="0" distB="0" distL="0" distR="0">
            <wp:extent cx="1117460" cy="393651"/>
            <wp:effectExtent l="0" t="0" r="6985"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BYSA.png"/>
                    <pic:cNvPicPr/>
                  </pic:nvPicPr>
                  <pic:blipFill>
                    <a:blip r:embed="rId6">
                      <a:extLst>
                        <a:ext uri="{28A0092B-C50C-407E-A947-70E740481C1C}">
                          <a14:useLocalDpi xmlns:a14="http://schemas.microsoft.com/office/drawing/2010/main" val="0"/>
                        </a:ext>
                      </a:extLst>
                    </a:blip>
                    <a:stretch>
                      <a:fillRect/>
                    </a:stretch>
                  </pic:blipFill>
                  <pic:spPr>
                    <a:xfrm>
                      <a:off x="0" y="0"/>
                      <a:ext cx="1117460" cy="393651"/>
                    </a:xfrm>
                    <a:prstGeom prst="rect">
                      <a:avLst/>
                    </a:prstGeom>
                  </pic:spPr>
                </pic:pic>
              </a:graphicData>
            </a:graphic>
          </wp:inline>
        </w:drawing>
      </w:r>
    </w:p>
    <w:p w:rsidR="00A26B68" w:rsidRDefault="00A26B68" w:rsidP="00A26B68">
      <w:pPr>
        <w:spacing w:before="100" w:beforeAutospacing="1" w:after="100" w:afterAutospacing="1" w:line="240" w:lineRule="auto"/>
        <w:outlineLvl w:val="0"/>
        <w:rPr>
          <w:rFonts w:ascii="Times New Roman" w:eastAsia="Times New Roman" w:hAnsi="Times New Roman" w:cs="Times New Roman"/>
          <w:sz w:val="24"/>
          <w:szCs w:val="24"/>
          <w:lang w:eastAsia="en-GB"/>
        </w:rPr>
      </w:pPr>
      <w:r>
        <w:t xml:space="preserve">This work is licensed under a </w:t>
      </w:r>
      <w:hyperlink r:id="rId7" w:history="1">
        <w:r>
          <w:rPr>
            <w:rStyle w:val="Hyperlink"/>
          </w:rPr>
          <w:t>Creative Commons Attribution-</w:t>
        </w:r>
        <w:proofErr w:type="spellStart"/>
        <w:r>
          <w:rPr>
            <w:rStyle w:val="Hyperlink"/>
          </w:rPr>
          <w:t>ShareAlike</w:t>
        </w:r>
        <w:proofErr w:type="spellEnd"/>
        <w:r>
          <w:rPr>
            <w:rStyle w:val="Hyperlink"/>
          </w:rPr>
          <w:t xml:space="preserve"> 4.0 International License</w:t>
        </w:r>
      </w:hyperlink>
      <w:r>
        <w:t>.</w:t>
      </w:r>
    </w:p>
    <w:p w:rsidR="00A26B68" w:rsidRPr="00A26B68" w:rsidRDefault="00A26B68" w:rsidP="00A26B68">
      <w:pPr>
        <w:spacing w:before="100" w:beforeAutospacing="1" w:after="100" w:afterAutospacing="1" w:line="240" w:lineRule="auto"/>
        <w:outlineLvl w:val="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This document is available online at </w:t>
      </w:r>
      <w:hyperlink r:id="rId8" w:history="1">
        <w:r w:rsidRPr="006B5010">
          <w:rPr>
            <w:rStyle w:val="Hyperlink"/>
            <w:rFonts w:ascii="Times New Roman" w:eastAsia="Times New Roman" w:hAnsi="Times New Roman" w:cs="Times New Roman"/>
            <w:sz w:val="24"/>
            <w:szCs w:val="24"/>
            <w:lang w:eastAsia="en-GB"/>
          </w:rPr>
          <w:t>http://johncanning.net/wp/?p=1629</w:t>
        </w:r>
      </w:hyperlink>
      <w:r>
        <w:rPr>
          <w:rFonts w:ascii="Times New Roman" w:eastAsia="Times New Roman" w:hAnsi="Times New Roman" w:cs="Times New Roman"/>
          <w:sz w:val="24"/>
          <w:szCs w:val="24"/>
          <w:lang w:eastAsia="en-GB"/>
        </w:rPr>
        <w:t xml:space="preserve"> </w:t>
      </w:r>
    </w:p>
    <w:p w:rsidR="00A26B68" w:rsidRPr="00A26B68" w:rsidRDefault="00A26B68" w:rsidP="00A26B68">
      <w:pPr>
        <w:spacing w:before="100" w:beforeAutospacing="1" w:after="100" w:afterAutospacing="1" w:line="240" w:lineRule="auto"/>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T</w:t>
      </w:r>
      <w:r w:rsidRPr="00A26B68">
        <w:rPr>
          <w:rFonts w:ascii="Times New Roman" w:eastAsia="Times New Roman" w:hAnsi="Times New Roman" w:cs="Times New Roman"/>
          <w:sz w:val="24"/>
          <w:szCs w:val="24"/>
          <w:lang w:eastAsia="en-GB"/>
        </w:rPr>
        <w:t xml:space="preserve">he following list is ten things I believe it is particularly useful to remember when applying for Fellowship of the Higher Education Academy, through the </w:t>
      </w:r>
      <w:hyperlink r:id="rId9" w:history="1">
        <w:r w:rsidRPr="00A26B68">
          <w:rPr>
            <w:rFonts w:ascii="Times New Roman" w:eastAsia="Times New Roman" w:hAnsi="Times New Roman" w:cs="Times New Roman"/>
            <w:color w:val="0000FF"/>
            <w:sz w:val="24"/>
            <w:szCs w:val="24"/>
            <w:u w:val="single"/>
            <w:lang w:eastAsia="en-GB"/>
          </w:rPr>
          <w:t>Professional Recognition Route</w:t>
        </w:r>
      </w:hyperlink>
      <w:r w:rsidRPr="00A26B68">
        <w:rPr>
          <w:rFonts w:ascii="Times New Roman" w:eastAsia="Times New Roman" w:hAnsi="Times New Roman" w:cs="Times New Roman"/>
          <w:sz w:val="24"/>
          <w:szCs w:val="24"/>
          <w:lang w:eastAsia="en-GB"/>
        </w:rPr>
        <w:t>. My thoughts are focused particularly on the</w:t>
      </w:r>
      <w:proofErr w:type="gramStart"/>
      <w:r w:rsidRPr="00A26B68">
        <w:rPr>
          <w:rFonts w:ascii="Times New Roman" w:eastAsia="Times New Roman" w:hAnsi="Times New Roman" w:cs="Times New Roman"/>
          <w:sz w:val="24"/>
          <w:szCs w:val="24"/>
          <w:lang w:eastAsia="en-GB"/>
        </w:rPr>
        <w:t>  Associate</w:t>
      </w:r>
      <w:proofErr w:type="gramEnd"/>
      <w:r w:rsidRPr="00A26B68">
        <w:rPr>
          <w:rFonts w:ascii="Times New Roman" w:eastAsia="Times New Roman" w:hAnsi="Times New Roman" w:cs="Times New Roman"/>
          <w:sz w:val="24"/>
          <w:szCs w:val="24"/>
          <w:lang w:eastAsia="en-GB"/>
        </w:rPr>
        <w:t xml:space="preserve"> (D1) and Fellowship (D2) levels though they apply to Senior (D3) and Principal (D4) as well.  Here at </w:t>
      </w:r>
      <w:hyperlink r:id="rId10" w:history="1">
        <w:r w:rsidRPr="00A26B68">
          <w:rPr>
            <w:rFonts w:ascii="Times New Roman" w:eastAsia="Times New Roman" w:hAnsi="Times New Roman" w:cs="Times New Roman"/>
            <w:color w:val="0000FF"/>
            <w:sz w:val="24"/>
            <w:szCs w:val="24"/>
            <w:u w:val="single"/>
            <w:lang w:eastAsia="en-GB"/>
          </w:rPr>
          <w:t xml:space="preserve">Brighton </w:t>
        </w:r>
      </w:hyperlink>
      <w:r w:rsidRPr="00A26B68">
        <w:rPr>
          <w:rFonts w:ascii="Times New Roman" w:eastAsia="Times New Roman" w:hAnsi="Times New Roman" w:cs="Times New Roman"/>
          <w:sz w:val="24"/>
          <w:szCs w:val="24"/>
          <w:lang w:eastAsia="en-GB"/>
        </w:rPr>
        <w:t xml:space="preserve">it is our aspiration that all teaching staff </w:t>
      </w:r>
      <w:proofErr w:type="gramStart"/>
      <w:r w:rsidRPr="00A26B68">
        <w:rPr>
          <w:rFonts w:ascii="Times New Roman" w:eastAsia="Times New Roman" w:hAnsi="Times New Roman" w:cs="Times New Roman"/>
          <w:sz w:val="24"/>
          <w:szCs w:val="24"/>
          <w:lang w:eastAsia="en-GB"/>
        </w:rPr>
        <w:t>have</w:t>
      </w:r>
      <w:proofErr w:type="gramEnd"/>
      <w:r w:rsidRPr="00A26B68">
        <w:rPr>
          <w:rFonts w:ascii="Times New Roman" w:eastAsia="Times New Roman" w:hAnsi="Times New Roman" w:cs="Times New Roman"/>
          <w:sz w:val="24"/>
          <w:szCs w:val="24"/>
          <w:lang w:eastAsia="en-GB"/>
        </w:rPr>
        <w:t>, or are working towards, a recognised teaching qualification by 2015, and the HEA’s Professional Recognition is likely to be the main route for more experienced academic staff.</w:t>
      </w:r>
    </w:p>
    <w:p w:rsidR="00A26B68" w:rsidRPr="00A26B68" w:rsidRDefault="00A26B68" w:rsidP="00A26B6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A26B68">
        <w:rPr>
          <w:rFonts w:ascii="Times New Roman" w:eastAsia="Times New Roman" w:hAnsi="Times New Roman" w:cs="Times New Roman"/>
          <w:i/>
          <w:iCs/>
          <w:sz w:val="24"/>
          <w:szCs w:val="24"/>
          <w:lang w:eastAsia="en-GB"/>
        </w:rPr>
        <w:t xml:space="preserve">Remember the Fellowship is a teaching and learning in higher education award, not a qualification in being an academic. </w:t>
      </w:r>
      <w:r w:rsidRPr="00A26B68">
        <w:rPr>
          <w:rFonts w:ascii="Times New Roman" w:eastAsia="Times New Roman" w:hAnsi="Times New Roman" w:cs="Times New Roman"/>
          <w:sz w:val="24"/>
          <w:szCs w:val="24"/>
          <w:lang w:eastAsia="en-GB"/>
        </w:rPr>
        <w:t xml:space="preserve">The Fellowships of the Higher Education Academy are concerned with teaching and learning in higher education. Other aspects of the academic role such as research, involvement in academic societies, administrations etc., </w:t>
      </w:r>
      <w:r w:rsidRPr="00A26B68">
        <w:rPr>
          <w:rFonts w:ascii="Times New Roman" w:eastAsia="Times New Roman" w:hAnsi="Times New Roman" w:cs="Times New Roman"/>
          <w:i/>
          <w:iCs/>
          <w:sz w:val="24"/>
          <w:szCs w:val="24"/>
          <w:lang w:eastAsia="en-GB"/>
        </w:rPr>
        <w:t>may</w:t>
      </w:r>
      <w:r w:rsidRPr="00A26B68">
        <w:rPr>
          <w:rFonts w:ascii="Times New Roman" w:eastAsia="Times New Roman" w:hAnsi="Times New Roman" w:cs="Times New Roman"/>
          <w:sz w:val="24"/>
          <w:szCs w:val="24"/>
          <w:lang w:eastAsia="en-GB"/>
        </w:rPr>
        <w:t xml:space="preserve"> be relevant to the Fellowship application, but only in as much as they relate to learning and teaching in higher education.</w:t>
      </w:r>
    </w:p>
    <w:p w:rsidR="00A26B68" w:rsidRPr="00A26B68" w:rsidRDefault="00A26B68" w:rsidP="00A26B6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A26B68">
        <w:rPr>
          <w:rFonts w:ascii="Times New Roman" w:eastAsia="Times New Roman" w:hAnsi="Times New Roman" w:cs="Times New Roman"/>
          <w:i/>
          <w:iCs/>
          <w:sz w:val="24"/>
          <w:szCs w:val="24"/>
          <w:lang w:eastAsia="en-GB"/>
        </w:rPr>
        <w:t xml:space="preserve">Remember the Fellowship is a teaching and learning in higher education award, and not </w:t>
      </w:r>
      <w:proofErr w:type="gramStart"/>
      <w:r w:rsidRPr="00A26B68">
        <w:rPr>
          <w:rFonts w:ascii="Times New Roman" w:eastAsia="Times New Roman" w:hAnsi="Times New Roman" w:cs="Times New Roman"/>
          <w:i/>
          <w:iCs/>
          <w:sz w:val="24"/>
          <w:szCs w:val="24"/>
          <w:lang w:eastAsia="en-GB"/>
        </w:rPr>
        <w:t>a recognition</w:t>
      </w:r>
      <w:proofErr w:type="gramEnd"/>
      <w:r w:rsidRPr="00A26B68">
        <w:rPr>
          <w:rFonts w:ascii="Times New Roman" w:eastAsia="Times New Roman" w:hAnsi="Times New Roman" w:cs="Times New Roman"/>
          <w:i/>
          <w:iCs/>
          <w:sz w:val="24"/>
          <w:szCs w:val="24"/>
          <w:lang w:eastAsia="en-GB"/>
        </w:rPr>
        <w:t xml:space="preserve"> for a long career. </w:t>
      </w:r>
      <w:r w:rsidRPr="00A26B68">
        <w:rPr>
          <w:rFonts w:ascii="Times New Roman" w:eastAsia="Times New Roman" w:hAnsi="Times New Roman" w:cs="Times New Roman"/>
          <w:sz w:val="24"/>
          <w:szCs w:val="24"/>
          <w:lang w:eastAsia="en-GB"/>
        </w:rPr>
        <w:t xml:space="preserve">It is tempting to include everything you have done over the course of your career, but it is not </w:t>
      </w:r>
      <w:proofErr w:type="gramStart"/>
      <w:r w:rsidRPr="00A26B68">
        <w:rPr>
          <w:rFonts w:ascii="Times New Roman" w:eastAsia="Times New Roman" w:hAnsi="Times New Roman" w:cs="Times New Roman"/>
          <w:sz w:val="24"/>
          <w:szCs w:val="24"/>
          <w:lang w:eastAsia="en-GB"/>
        </w:rPr>
        <w:t>a recognition</w:t>
      </w:r>
      <w:proofErr w:type="gramEnd"/>
      <w:r w:rsidRPr="00A26B68">
        <w:rPr>
          <w:rFonts w:ascii="Times New Roman" w:eastAsia="Times New Roman" w:hAnsi="Times New Roman" w:cs="Times New Roman"/>
          <w:sz w:val="24"/>
          <w:szCs w:val="24"/>
          <w:lang w:eastAsia="en-GB"/>
        </w:rPr>
        <w:t xml:space="preserve"> for everything you have done over the course of your career. Teaching outside higher education and other work/ or outside work experience </w:t>
      </w:r>
      <w:r w:rsidRPr="00A26B68">
        <w:rPr>
          <w:rFonts w:ascii="Times New Roman" w:eastAsia="Times New Roman" w:hAnsi="Times New Roman" w:cs="Times New Roman"/>
          <w:i/>
          <w:iCs/>
          <w:sz w:val="24"/>
          <w:szCs w:val="24"/>
          <w:lang w:eastAsia="en-GB"/>
        </w:rPr>
        <w:t>may</w:t>
      </w:r>
      <w:r w:rsidRPr="00A26B68">
        <w:rPr>
          <w:rFonts w:ascii="Times New Roman" w:eastAsia="Times New Roman" w:hAnsi="Times New Roman" w:cs="Times New Roman"/>
          <w:sz w:val="24"/>
          <w:szCs w:val="24"/>
          <w:lang w:eastAsia="en-GB"/>
        </w:rPr>
        <w:t xml:space="preserve"> be relevant, but only insofar that it relates to learning and teaching in higher education. This may involve leaving out the achievements of which you are most proud.</w:t>
      </w:r>
    </w:p>
    <w:p w:rsidR="00A26B68" w:rsidRPr="00A26B68" w:rsidRDefault="00A26B68" w:rsidP="00A26B6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A26B68">
        <w:rPr>
          <w:rFonts w:ascii="Times New Roman" w:eastAsia="Times New Roman" w:hAnsi="Times New Roman" w:cs="Times New Roman"/>
          <w:i/>
          <w:iCs/>
          <w:sz w:val="24"/>
          <w:szCs w:val="24"/>
          <w:lang w:eastAsia="en-GB"/>
        </w:rPr>
        <w:t>Remember the Fellowship is a teaching and learning in higher education award, and not a reward for good character.</w:t>
      </w:r>
      <w:r w:rsidRPr="00A26B68">
        <w:rPr>
          <w:rFonts w:ascii="Times New Roman" w:eastAsia="Times New Roman" w:hAnsi="Times New Roman" w:cs="Times New Roman"/>
          <w:sz w:val="24"/>
          <w:szCs w:val="24"/>
          <w:lang w:eastAsia="en-GB"/>
        </w:rPr>
        <w:t xml:space="preserve"> Getting on well with colleagues, being liked and appreciated by others and being a helpful person are all good qualities. However, fellowships are not awarded for being a nice person or having people say nice things about you, but sh</w:t>
      </w:r>
      <w:bookmarkStart w:id="0" w:name="_GoBack"/>
      <w:bookmarkEnd w:id="0"/>
      <w:r w:rsidRPr="00A26B68">
        <w:rPr>
          <w:rFonts w:ascii="Times New Roman" w:eastAsia="Times New Roman" w:hAnsi="Times New Roman" w:cs="Times New Roman"/>
          <w:sz w:val="24"/>
          <w:szCs w:val="24"/>
          <w:lang w:eastAsia="en-GB"/>
        </w:rPr>
        <w:t>owing evidence of your learning and teaching practice.</w:t>
      </w:r>
    </w:p>
    <w:p w:rsidR="00A26B68" w:rsidRPr="00A26B68" w:rsidRDefault="00A26B68" w:rsidP="00A26B6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A26B68">
        <w:rPr>
          <w:rFonts w:ascii="Times New Roman" w:eastAsia="Times New Roman" w:hAnsi="Times New Roman" w:cs="Times New Roman"/>
          <w:i/>
          <w:iCs/>
          <w:sz w:val="24"/>
          <w:szCs w:val="24"/>
          <w:lang w:eastAsia="en-GB"/>
        </w:rPr>
        <w:t xml:space="preserve">Remember to focus on teaching and learning in </w:t>
      </w:r>
      <w:r w:rsidRPr="00A26B68">
        <w:rPr>
          <w:rFonts w:ascii="Times New Roman" w:eastAsia="Times New Roman" w:hAnsi="Times New Roman" w:cs="Times New Roman"/>
          <w:b/>
          <w:bCs/>
          <w:i/>
          <w:iCs/>
          <w:sz w:val="24"/>
          <w:szCs w:val="24"/>
          <w:lang w:eastAsia="en-GB"/>
        </w:rPr>
        <w:t>higher education</w:t>
      </w:r>
      <w:r w:rsidRPr="00A26B68">
        <w:rPr>
          <w:rFonts w:ascii="Times New Roman" w:eastAsia="Times New Roman" w:hAnsi="Times New Roman" w:cs="Times New Roman"/>
          <w:sz w:val="24"/>
          <w:szCs w:val="24"/>
          <w:lang w:eastAsia="en-GB"/>
        </w:rPr>
        <w:t>. Other qualifications are awarded for teaching in (or learning to teach in) sectors other than higher education. These experiences may be relevant to your practice of teaching and learning in higher education, but they are not substitutes for learning and teaching in higher education.</w:t>
      </w:r>
    </w:p>
    <w:p w:rsidR="00A26B68" w:rsidRPr="00A26B68" w:rsidRDefault="00A26B68" w:rsidP="00A26B6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A26B68">
        <w:rPr>
          <w:rFonts w:ascii="Times New Roman" w:eastAsia="Times New Roman" w:hAnsi="Times New Roman" w:cs="Times New Roman"/>
          <w:i/>
          <w:iCs/>
          <w:sz w:val="24"/>
          <w:szCs w:val="24"/>
          <w:lang w:eastAsia="en-GB"/>
        </w:rPr>
        <w:t xml:space="preserve">Remember that teaching and learning in higher education takes many forms. </w:t>
      </w:r>
      <w:r w:rsidRPr="00A26B68">
        <w:rPr>
          <w:rFonts w:ascii="Times New Roman" w:eastAsia="Times New Roman" w:hAnsi="Times New Roman" w:cs="Times New Roman"/>
          <w:sz w:val="24"/>
          <w:szCs w:val="24"/>
          <w:lang w:eastAsia="en-GB"/>
        </w:rPr>
        <w:t xml:space="preserve">Academic development, developing teaching materials, pedagogic research in higher education and designing and delivering workshops are all suitable examples of </w:t>
      </w:r>
      <w:r w:rsidRPr="00A26B68">
        <w:rPr>
          <w:rFonts w:ascii="Times New Roman" w:eastAsia="Times New Roman" w:hAnsi="Times New Roman" w:cs="Times New Roman"/>
          <w:sz w:val="24"/>
          <w:szCs w:val="24"/>
          <w:lang w:eastAsia="en-GB"/>
        </w:rPr>
        <w:lastRenderedPageBreak/>
        <w:t>teaching and learning and in higher education and supporting these activities. Assessment can be formative, as well as summative. Students can be colleagues or professionals as well as undergraduate and postgraduate students.</w:t>
      </w:r>
    </w:p>
    <w:p w:rsidR="00A26B68" w:rsidRPr="00A26B68" w:rsidRDefault="00A26B68" w:rsidP="00A26B6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A26B68">
        <w:rPr>
          <w:rFonts w:ascii="Times New Roman" w:eastAsia="Times New Roman" w:hAnsi="Times New Roman" w:cs="Times New Roman"/>
          <w:i/>
          <w:iCs/>
          <w:sz w:val="24"/>
          <w:szCs w:val="24"/>
          <w:lang w:eastAsia="en-GB"/>
        </w:rPr>
        <w:t>Remember to explicitly reference the professional values, core knowledge and areas of activity in the UK Professional Standards Framework</w:t>
      </w:r>
      <w:r>
        <w:rPr>
          <w:rFonts w:ascii="Times New Roman" w:eastAsia="Times New Roman" w:hAnsi="Times New Roman" w:cs="Times New Roman"/>
          <w:i/>
          <w:iCs/>
          <w:sz w:val="24"/>
          <w:szCs w:val="24"/>
          <w:lang w:eastAsia="en-GB"/>
        </w:rPr>
        <w:t xml:space="preserve"> (UKPSF)</w:t>
      </w:r>
      <w:r w:rsidRPr="00A26B68">
        <w:rPr>
          <w:rFonts w:ascii="Times New Roman" w:eastAsia="Times New Roman" w:hAnsi="Times New Roman" w:cs="Times New Roman"/>
          <w:i/>
          <w:iCs/>
          <w:sz w:val="24"/>
          <w:szCs w:val="24"/>
          <w:lang w:eastAsia="en-GB"/>
        </w:rPr>
        <w:t>.</w:t>
      </w:r>
      <w:r w:rsidRPr="00A26B68">
        <w:rPr>
          <w:rFonts w:ascii="Times New Roman" w:eastAsia="Times New Roman" w:hAnsi="Times New Roman" w:cs="Times New Roman"/>
          <w:sz w:val="24"/>
          <w:szCs w:val="24"/>
          <w:lang w:eastAsia="en-GB"/>
        </w:rPr>
        <w:t xml:space="preserve"> These three areas of the UKPSF are central to the process and should be explicitly referenced in your application. Do not rely on the assessors to spot the relevance of each activity or case study to the UKPSF.</w:t>
      </w:r>
    </w:p>
    <w:p w:rsidR="00A26B68" w:rsidRPr="00A26B68" w:rsidRDefault="00A26B68" w:rsidP="00A26B6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A26B68">
        <w:rPr>
          <w:rFonts w:ascii="Times New Roman" w:eastAsia="Times New Roman" w:hAnsi="Times New Roman" w:cs="Times New Roman"/>
          <w:i/>
          <w:iCs/>
          <w:sz w:val="24"/>
          <w:szCs w:val="24"/>
          <w:lang w:eastAsia="en-GB"/>
        </w:rPr>
        <w:t xml:space="preserve">Remember to be reflective. </w:t>
      </w:r>
      <w:r w:rsidRPr="00A26B68">
        <w:rPr>
          <w:rFonts w:ascii="Times New Roman" w:eastAsia="Times New Roman" w:hAnsi="Times New Roman" w:cs="Times New Roman"/>
          <w:sz w:val="24"/>
          <w:szCs w:val="24"/>
          <w:lang w:eastAsia="en-GB"/>
        </w:rPr>
        <w:t xml:space="preserve">The fellowship application is not just about what you have done, but what you have learnt from that experience, and its impact on your future practice.  </w:t>
      </w:r>
    </w:p>
    <w:p w:rsidR="00A26B68" w:rsidRPr="00A26B68" w:rsidRDefault="00A26B68" w:rsidP="00A26B6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A26B68">
        <w:rPr>
          <w:rFonts w:ascii="Times New Roman" w:eastAsia="Times New Roman" w:hAnsi="Times New Roman" w:cs="Times New Roman"/>
          <w:i/>
          <w:iCs/>
          <w:sz w:val="24"/>
          <w:szCs w:val="24"/>
          <w:lang w:eastAsia="en-GB"/>
        </w:rPr>
        <w:t xml:space="preserve">Remember to demonstrate that you are familiar with literature or theory on teaching and learning in higher education. </w:t>
      </w:r>
      <w:r w:rsidRPr="00A26B68">
        <w:rPr>
          <w:rFonts w:ascii="Times New Roman" w:eastAsia="Times New Roman" w:hAnsi="Times New Roman" w:cs="Times New Roman"/>
          <w:sz w:val="24"/>
          <w:szCs w:val="24"/>
          <w:lang w:eastAsia="en-GB"/>
        </w:rPr>
        <w:t>Like any other scholarly field, there is a vast literature around teaching and learning in higher education. You don’t need to be an expert but evidence of engagement with the literature is important. This literature can ‘generic’ and/or specific to your discipline.</w:t>
      </w:r>
    </w:p>
    <w:p w:rsidR="00A26B68" w:rsidRPr="00A26B68" w:rsidRDefault="00A26B68" w:rsidP="00A26B6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A26B68">
        <w:rPr>
          <w:rFonts w:ascii="Times New Roman" w:eastAsia="Times New Roman" w:hAnsi="Times New Roman" w:cs="Times New Roman"/>
          <w:i/>
          <w:iCs/>
          <w:sz w:val="24"/>
          <w:szCs w:val="24"/>
          <w:lang w:eastAsia="en-GB"/>
        </w:rPr>
        <w:t xml:space="preserve">Remember the Fellowship is an </w:t>
      </w:r>
      <w:r w:rsidRPr="00A26B68">
        <w:rPr>
          <w:rFonts w:ascii="Times New Roman" w:eastAsia="Times New Roman" w:hAnsi="Times New Roman" w:cs="Times New Roman"/>
          <w:i/>
          <w:iCs/>
          <w:sz w:val="24"/>
          <w:szCs w:val="24"/>
          <w:u w:val="single"/>
          <w:lang w:eastAsia="en-GB"/>
        </w:rPr>
        <w:t>individual</w:t>
      </w:r>
      <w:r w:rsidRPr="00A26B68">
        <w:rPr>
          <w:rFonts w:ascii="Times New Roman" w:eastAsia="Times New Roman" w:hAnsi="Times New Roman" w:cs="Times New Roman"/>
          <w:i/>
          <w:iCs/>
          <w:sz w:val="24"/>
          <w:szCs w:val="24"/>
          <w:lang w:eastAsia="en-GB"/>
        </w:rPr>
        <w:t xml:space="preserve"> award. </w:t>
      </w:r>
      <w:r w:rsidRPr="00A26B68">
        <w:rPr>
          <w:rFonts w:ascii="Times New Roman" w:eastAsia="Times New Roman" w:hAnsi="Times New Roman" w:cs="Times New Roman"/>
          <w:sz w:val="24"/>
          <w:szCs w:val="24"/>
          <w:lang w:eastAsia="en-GB"/>
        </w:rPr>
        <w:t xml:space="preserve">Teamwork is good, but the HEA fellowships are awards for individuals. If describing a team activity make </w:t>
      </w:r>
      <w:r w:rsidRPr="00A26B68">
        <w:rPr>
          <w:rFonts w:ascii="Times New Roman" w:eastAsia="Times New Roman" w:hAnsi="Times New Roman" w:cs="Times New Roman"/>
          <w:sz w:val="24"/>
          <w:szCs w:val="24"/>
          <w:u w:val="single"/>
          <w:lang w:eastAsia="en-GB"/>
        </w:rPr>
        <w:t>your role</w:t>
      </w:r>
      <w:r w:rsidRPr="00A26B68">
        <w:rPr>
          <w:rFonts w:ascii="Times New Roman" w:eastAsia="Times New Roman" w:hAnsi="Times New Roman" w:cs="Times New Roman"/>
          <w:sz w:val="24"/>
          <w:szCs w:val="24"/>
          <w:lang w:eastAsia="en-GB"/>
        </w:rPr>
        <w:t xml:space="preserve"> clear. Be careful how you use the pronoun ‘we’ and how you write about “The department”, “The centre”, “The project team”, “My colleague” etc.</w:t>
      </w:r>
    </w:p>
    <w:p w:rsidR="00A26B68" w:rsidRPr="00A26B68" w:rsidRDefault="00A26B68" w:rsidP="00A26B68">
      <w:pPr>
        <w:numPr>
          <w:ilvl w:val="0"/>
          <w:numId w:val="1"/>
        </w:numPr>
        <w:spacing w:before="100" w:beforeAutospacing="1" w:after="100" w:afterAutospacing="1" w:line="240" w:lineRule="auto"/>
        <w:rPr>
          <w:rFonts w:ascii="Times New Roman" w:eastAsia="Times New Roman" w:hAnsi="Times New Roman" w:cs="Times New Roman"/>
          <w:sz w:val="24"/>
          <w:szCs w:val="24"/>
          <w:lang w:eastAsia="en-GB"/>
        </w:rPr>
      </w:pPr>
      <w:r w:rsidRPr="00A26B68">
        <w:rPr>
          <w:rFonts w:ascii="Times New Roman" w:eastAsia="Times New Roman" w:hAnsi="Times New Roman" w:cs="Times New Roman"/>
          <w:i/>
          <w:iCs/>
          <w:sz w:val="24"/>
          <w:szCs w:val="24"/>
          <w:lang w:eastAsia="en-GB"/>
        </w:rPr>
        <w:t>Remember the references are an important part of the application.</w:t>
      </w:r>
      <w:r w:rsidRPr="00A26B68">
        <w:rPr>
          <w:rFonts w:ascii="Times New Roman" w:eastAsia="Times New Roman" w:hAnsi="Times New Roman" w:cs="Times New Roman"/>
          <w:sz w:val="24"/>
          <w:szCs w:val="24"/>
          <w:lang w:eastAsia="en-GB"/>
        </w:rPr>
        <w:t xml:space="preserve"> The referees you might choose when applying for a job are not necessarily the most appropriate for commenting on your teaching and learning practice. Think about which colleagues are best placed to provide your reference.</w:t>
      </w:r>
    </w:p>
    <w:p w:rsidR="000F140E" w:rsidRDefault="000F140E"/>
    <w:sectPr w:rsidR="000F1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3756A"/>
    <w:multiLevelType w:val="multilevel"/>
    <w:tmpl w:val="77E2A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B68"/>
    <w:rsid w:val="000F140E"/>
    <w:rsid w:val="00A26B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6B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B68"/>
    <w:rPr>
      <w:rFonts w:ascii="Times New Roman" w:eastAsia="Times New Roman" w:hAnsi="Times New Roman" w:cs="Times New Roman"/>
      <w:b/>
      <w:bCs/>
      <w:kern w:val="36"/>
      <w:sz w:val="48"/>
      <w:szCs w:val="48"/>
      <w:lang w:eastAsia="en-GB"/>
    </w:rPr>
  </w:style>
  <w:style w:type="character" w:customStyle="1" w:styleId="date">
    <w:name w:val="date"/>
    <w:basedOn w:val="DefaultParagraphFont"/>
    <w:rsid w:val="00A26B68"/>
  </w:style>
  <w:style w:type="character" w:styleId="Hyperlink">
    <w:name w:val="Hyperlink"/>
    <w:basedOn w:val="DefaultParagraphFont"/>
    <w:uiPriority w:val="99"/>
    <w:unhideWhenUsed/>
    <w:rsid w:val="00A26B68"/>
    <w:rPr>
      <w:color w:val="0000FF"/>
      <w:u w:val="single"/>
    </w:rPr>
  </w:style>
  <w:style w:type="character" w:customStyle="1" w:styleId="categories-links">
    <w:name w:val="categories-links"/>
    <w:basedOn w:val="DefaultParagraphFont"/>
    <w:rsid w:val="00A26B68"/>
  </w:style>
  <w:style w:type="paragraph" w:styleId="NormalWeb">
    <w:name w:val="Normal (Web)"/>
    <w:basedOn w:val="Normal"/>
    <w:uiPriority w:val="99"/>
    <w:semiHidden/>
    <w:unhideWhenUsed/>
    <w:rsid w:val="00A26B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26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B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A26B6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6B68"/>
    <w:rPr>
      <w:rFonts w:ascii="Times New Roman" w:eastAsia="Times New Roman" w:hAnsi="Times New Roman" w:cs="Times New Roman"/>
      <w:b/>
      <w:bCs/>
      <w:kern w:val="36"/>
      <w:sz w:val="48"/>
      <w:szCs w:val="48"/>
      <w:lang w:eastAsia="en-GB"/>
    </w:rPr>
  </w:style>
  <w:style w:type="character" w:customStyle="1" w:styleId="date">
    <w:name w:val="date"/>
    <w:basedOn w:val="DefaultParagraphFont"/>
    <w:rsid w:val="00A26B68"/>
  </w:style>
  <w:style w:type="character" w:styleId="Hyperlink">
    <w:name w:val="Hyperlink"/>
    <w:basedOn w:val="DefaultParagraphFont"/>
    <w:uiPriority w:val="99"/>
    <w:unhideWhenUsed/>
    <w:rsid w:val="00A26B68"/>
    <w:rPr>
      <w:color w:val="0000FF"/>
      <w:u w:val="single"/>
    </w:rPr>
  </w:style>
  <w:style w:type="character" w:customStyle="1" w:styleId="categories-links">
    <w:name w:val="categories-links"/>
    <w:basedOn w:val="DefaultParagraphFont"/>
    <w:rsid w:val="00A26B68"/>
  </w:style>
  <w:style w:type="paragraph" w:styleId="NormalWeb">
    <w:name w:val="Normal (Web)"/>
    <w:basedOn w:val="Normal"/>
    <w:uiPriority w:val="99"/>
    <w:semiHidden/>
    <w:unhideWhenUsed/>
    <w:rsid w:val="00A26B68"/>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A26B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6B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43727">
      <w:bodyDiv w:val="1"/>
      <w:marLeft w:val="0"/>
      <w:marRight w:val="0"/>
      <w:marTop w:val="0"/>
      <w:marBottom w:val="0"/>
      <w:divBdr>
        <w:top w:val="none" w:sz="0" w:space="0" w:color="auto"/>
        <w:left w:val="none" w:sz="0" w:space="0" w:color="auto"/>
        <w:bottom w:val="none" w:sz="0" w:space="0" w:color="auto"/>
        <w:right w:val="none" w:sz="0" w:space="0" w:color="auto"/>
      </w:divBdr>
      <w:divsChild>
        <w:div w:id="2073456613">
          <w:marLeft w:val="0"/>
          <w:marRight w:val="0"/>
          <w:marTop w:val="0"/>
          <w:marBottom w:val="0"/>
          <w:divBdr>
            <w:top w:val="none" w:sz="0" w:space="0" w:color="auto"/>
            <w:left w:val="none" w:sz="0" w:space="0" w:color="auto"/>
            <w:bottom w:val="none" w:sz="0" w:space="0" w:color="auto"/>
            <w:right w:val="none" w:sz="0" w:space="0" w:color="auto"/>
          </w:divBdr>
        </w:div>
        <w:div w:id="4654643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hncanning.net/wp/?p=1629" TargetMode="External"/><Relationship Id="rId3" Type="http://schemas.microsoft.com/office/2007/relationships/stylesWithEffects" Target="stylesWithEffects.xml"/><Relationship Id="rId7" Type="http://schemas.openxmlformats.org/officeDocument/2006/relationships/hyperlink" Target="http://creativecommons.org/licenses/by-sa/4.0/deed.en_U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righton.ac.uk/clt/courses/uob-professional-development-and-recognition-scheme/" TargetMode="External"/><Relationship Id="rId4" Type="http://schemas.openxmlformats.org/officeDocument/2006/relationships/settings" Target="settings.xml"/><Relationship Id="rId9" Type="http://schemas.openxmlformats.org/officeDocument/2006/relationships/hyperlink" Target="http://www.heacademy.ac.uk/professional-recogni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740</Words>
  <Characters>4223</Characters>
  <Application>Microsoft Office Word</Application>
  <DocSecurity>0</DocSecurity>
  <Lines>35</Lines>
  <Paragraphs>9</Paragraphs>
  <ScaleCrop>false</ScaleCrop>
  <Company>RM</Company>
  <LinksUpToDate>false</LinksUpToDate>
  <CharactersWithSpaces>4954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Canning</dc:creator>
  <cp:lastModifiedBy>John Canning</cp:lastModifiedBy>
  <cp:revision>1</cp:revision>
  <dcterms:created xsi:type="dcterms:W3CDTF">2014-02-19T08:41:00Z</dcterms:created>
  <dcterms:modified xsi:type="dcterms:W3CDTF">2014-02-19T08:48:00Z</dcterms:modified>
</cp:coreProperties>
</file>